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7777777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5BFBB522"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6260AF4B"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E1E9629" w14:textId="3231B733"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Algemene Toelichting voor de koop-/aannemingsovereenkomst voor appartementsrechten 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384DE908"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1FF1B904"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17539184"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7C023E3B"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318884C9" w:rsidR="00C23FBB" w:rsidRPr="00D55943" w:rsidRDefault="00C23FBB" w:rsidP="00C23FBB">
      <w:pPr>
        <w:suppressAutoHyphens/>
        <w:rPr>
          <w:rFonts w:ascii="Arial" w:hAnsi="Arial" w:cs="Arial"/>
          <w:sz w:val="20"/>
        </w:rPr>
      </w:pPr>
      <w:r w:rsidRPr="00D55943">
        <w:rPr>
          <w:rFonts w:ascii="Arial" w:hAnsi="Arial" w:cs="Arial"/>
          <w:sz w:val="20"/>
        </w:rPr>
        <w:lastRenderedPageBreak/>
        <w:t>Word(t)(en) het (de) appartement</w:t>
      </w:r>
      <w:r w:rsidR="00DF7DF2">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DF7DF2">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lastRenderedPageBreak/>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w:t>
      </w:r>
      <w:r w:rsidR="007923C5" w:rsidRPr="00204A61">
        <w:rPr>
          <w:rFonts w:ascii="Arial" w:hAnsi="Arial" w:cs="Arial"/>
          <w:snapToGrid/>
          <w:sz w:val="20"/>
        </w:rPr>
        <w:t>geschieden bij akte te verlijden ten overstaan van de Notaris, diens plaatsvervanger of opvolger, op een door de Notaris te bepalen tijdstip:</w:t>
      </w:r>
    </w:p>
    <w:p w14:paraId="320E24C3" w14:textId="19761334"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5715C99E"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lastRenderedPageBreak/>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77BEB0B1"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D02C3D">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lastRenderedPageBreak/>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6AF72FBF"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w:t>
      </w:r>
      <w:r w:rsidRPr="00D55943">
        <w:rPr>
          <w:rFonts w:ascii="Arial" w:hAnsi="Arial" w:cs="Arial"/>
          <w:iCs/>
          <w:sz w:val="20"/>
        </w:rPr>
        <w:lastRenderedPageBreak/>
        <w:t>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4110E0A1"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lastRenderedPageBreak/>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3F86559B"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1F8F0256"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lastRenderedPageBreak/>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3F2D2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 xml:space="preserve">voor het project, waarvan het in de aanhef van deze overeenkomst genoemde appartement deel uitmaakt, door Woningborg een bewijs van </w:t>
      </w:r>
      <w:r w:rsidRPr="003F2D23">
        <w:rPr>
          <w:rFonts w:ascii="Arial" w:hAnsi="Arial" w:cs="Arial"/>
          <w:sz w:val="20"/>
        </w:rPr>
        <w:t>planacceptatie is afgegeven;</w:t>
      </w:r>
    </w:p>
    <w:p w14:paraId="3CF199C0" w14:textId="6A756E20" w:rsidR="005206F0" w:rsidRPr="003F2D23" w:rsidRDefault="005206F0" w:rsidP="005206F0">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C7549E" w:rsidRPr="003F2D23">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3F2D23">
        <w:rPr>
          <w:rFonts w:ascii="Arial" w:hAnsi="Arial" w:cs="Arial"/>
          <w:sz w:val="20"/>
        </w:rPr>
        <w:t>;</w:t>
      </w:r>
    </w:p>
    <w:p w14:paraId="1BA43A96" w14:textId="4C596DB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 xml:space="preserve">de Ondernemer </w:t>
      </w:r>
      <w:r w:rsidR="004B7AD3" w:rsidRPr="003F2D23">
        <w:rPr>
          <w:rFonts w:ascii="Arial" w:hAnsi="Arial" w:cs="Arial"/>
          <w:sz w:val="20"/>
        </w:rPr>
        <w:t xml:space="preserve">voor </w:t>
      </w:r>
      <w:r w:rsidRPr="003F2D23">
        <w:rPr>
          <w:rFonts w:ascii="Arial" w:hAnsi="Arial" w:cs="Arial"/>
          <w:sz w:val="20"/>
        </w:rPr>
        <w:t xml:space="preserve">ten minste … van de in totaal … appartementen, waaruit het onderhavige project bestaat, een </w:t>
      </w:r>
      <w:r w:rsidR="007F38C5" w:rsidRPr="003F2D23">
        <w:rPr>
          <w:rFonts w:ascii="Arial" w:hAnsi="Arial" w:cs="Arial"/>
          <w:sz w:val="20"/>
        </w:rPr>
        <w:t>Woningborg-</w:t>
      </w:r>
      <w:r w:rsidRPr="003F2D23">
        <w:rPr>
          <w:rFonts w:ascii="Arial" w:hAnsi="Arial" w:cs="Arial"/>
          <w:sz w:val="20"/>
        </w:rPr>
        <w:t xml:space="preserve">overeenkomst </w:t>
      </w:r>
      <w:r w:rsidR="004B7AD3" w:rsidRPr="003F2D23">
        <w:rPr>
          <w:rFonts w:ascii="Arial" w:hAnsi="Arial" w:cs="Arial"/>
          <w:sz w:val="20"/>
        </w:rPr>
        <w:t xml:space="preserve">heeft gesloten </w:t>
      </w:r>
      <w:r w:rsidRPr="003F2D2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w:t>
      </w:r>
      <w:r w:rsidRPr="00D55943">
        <w:rPr>
          <w:rFonts w:ascii="Arial" w:hAnsi="Arial" w:cs="Arial"/>
          <w:sz w:val="20"/>
        </w:rPr>
        <w:t xml:space="preserve">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D2E27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w:t>
      </w:r>
      <w:r w:rsidR="00BB5C3C" w:rsidRPr="00BB5C3C">
        <w:rPr>
          <w:rFonts w:ascii="Arial" w:hAnsi="Arial" w:cs="Arial"/>
          <w:sz w:val="20"/>
        </w:rPr>
        <w:lastRenderedPageBreak/>
        <w:t xml:space="preserve">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2CD61AA8" w:rsidR="005206F0" w:rsidRPr="00BB5C3C" w:rsidRDefault="005206F0" w:rsidP="00624796">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CC95B80" w:rsidR="005206F0" w:rsidRPr="00BB5C3C" w:rsidRDefault="005206F0" w:rsidP="005206F0">
      <w:pPr>
        <w:rPr>
          <w:rFonts w:ascii="Arial" w:hAnsi="Arial" w:cs="Arial"/>
          <w:sz w:val="20"/>
        </w:rPr>
      </w:pPr>
    </w:p>
    <w:p w14:paraId="7B9C0242" w14:textId="43C80761"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237D0079"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18EC692B"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0D87ED1D"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zijn van toepassing de Algemene Voorwaarden voor de </w:t>
      </w:r>
      <w:r w:rsidRPr="00C863C0">
        <w:rPr>
          <w:rFonts w:ascii="Arial" w:hAnsi="Arial" w:cs="Arial"/>
          <w:sz w:val="20"/>
        </w:rPr>
        <w:lastRenderedPageBreak/>
        <w:t xml:space="preserve">koop-/aannemingsovereenkomst 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F114F1" w:rsidRPr="00C863C0">
        <w:rPr>
          <w:rFonts w:ascii="Arial" w:hAnsi="Arial" w:cs="Arial"/>
          <w:sz w:val="20"/>
        </w:rPr>
        <w:t xml:space="preserve">januari </w:t>
      </w:r>
      <w:r w:rsidR="00C863C0">
        <w:rPr>
          <w:rFonts w:ascii="Arial" w:hAnsi="Arial" w:cs="Arial"/>
          <w:sz w:val="20"/>
        </w:rPr>
        <w:t>2020</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32A02C21"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waarborgregeling Nieuwbouw</w:t>
      </w:r>
      <w:r w:rsidRPr="00D55943">
        <w:rPr>
          <w:rFonts w:ascii="Arial" w:hAnsi="Arial" w:cs="Arial"/>
          <w:sz w:val="20"/>
        </w:rPr>
        <w:t xml:space="preserve"> </w:t>
      </w:r>
      <w:r w:rsidR="00C863C0">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45C9C97A"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54EAD2DB" w14:textId="69431ED7"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6AC3D25E" w14:textId="4386A734"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C863C0">
        <w:rPr>
          <w:rFonts w:ascii="Arial" w:hAnsi="Arial" w:cs="Arial"/>
          <w:sz w:val="20"/>
        </w:rPr>
        <w:t>2020</w:t>
      </w:r>
      <w:r w:rsidR="00700480" w:rsidRPr="00D55943">
        <w:rPr>
          <w:rFonts w:ascii="Arial" w:hAnsi="Arial" w:cs="Arial"/>
          <w:sz w:val="20"/>
        </w:rPr>
        <w:t>.</w:t>
      </w:r>
    </w:p>
    <w:p w14:paraId="25F90D12" w14:textId="6D838CF7" w:rsidR="000F29F5" w:rsidRPr="00D55943"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1B73B55A" w14:textId="06CB6437" w:rsidR="00464A24" w:rsidRPr="00D55943" w:rsidRDefault="009171C3" w:rsidP="00464A24">
      <w:pPr>
        <w:widowControl/>
        <w:numPr>
          <w:ilvl w:val="0"/>
          <w:numId w:val="31"/>
        </w:numPr>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r w:rsidR="007B5B06" w:rsidRPr="00D55943">
        <w:rPr>
          <w:rFonts w:ascii="Arial" w:hAnsi="Arial" w:cs="Arial"/>
          <w:color w:val="FF0000"/>
          <w:sz w:val="20"/>
          <w:highlight w:val="yellow"/>
        </w:rPr>
        <w:t>PassiefBouwen Keur</w:t>
      </w:r>
      <w:r w:rsidR="00464A24" w:rsidRPr="00D55943">
        <w:rPr>
          <w:rFonts w:ascii="Arial" w:hAnsi="Arial" w:cs="Arial"/>
          <w:color w:val="FF0000"/>
          <w:sz w:val="20"/>
          <w:highlight w:val="yellow"/>
        </w:rPr>
        <w:t xml:space="preserve">”,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4E4A59A6"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01-03T14:42:00Z" w:initials="r">
    <w:p w14:paraId="516AE291" w14:textId="77777777" w:rsidR="00D02C3D" w:rsidRPr="00A216AA" w:rsidRDefault="00D02C3D">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D02C3D" w:rsidRPr="00A216AA" w:rsidRDefault="00D02C3D">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D02C3D" w:rsidRDefault="00D02C3D"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D02C3D" w:rsidRDefault="00D02C3D"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D02C3D" w:rsidRDefault="00D02C3D"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AE291" w15:done="0"/>
  <w15:commentEx w15:paraId="0C82A4B4" w15:done="0"/>
  <w15:commentEx w15:paraId="0AF54092" w15:done="0"/>
  <w15:commentEx w15:paraId="7DBAD6D6" w15:done="0"/>
  <w15:commentEx w15:paraId="796DAF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D02C3D" w:rsidRDefault="00D02C3D">
      <w:pPr>
        <w:spacing w:line="20" w:lineRule="exact"/>
      </w:pPr>
    </w:p>
  </w:endnote>
  <w:endnote w:type="continuationSeparator" w:id="0">
    <w:p w14:paraId="2AF964B5" w14:textId="77777777" w:rsidR="00D02C3D" w:rsidRDefault="00D02C3D">
      <w:r>
        <w:t xml:space="preserve"> </w:t>
      </w:r>
    </w:p>
  </w:endnote>
  <w:endnote w:type="continuationNotice" w:id="1">
    <w:p w14:paraId="5F9619A6" w14:textId="77777777" w:rsidR="00D02C3D" w:rsidRDefault="00D02C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D02C3D" w:rsidRPr="00FE2241" w:rsidRDefault="00D02C3D" w:rsidP="00FE2241">
    <w:pPr>
      <w:pBdr>
        <w:top w:val="single" w:sz="4" w:space="1" w:color="auto"/>
      </w:pBdr>
      <w:rPr>
        <w:rFonts w:ascii="Arial" w:hAnsi="Arial" w:cs="Arial"/>
        <w:sz w:val="14"/>
      </w:rPr>
    </w:pPr>
  </w:p>
  <w:p w14:paraId="66DC1B28" w14:textId="77777777" w:rsidR="00D02C3D" w:rsidRPr="00FE2241" w:rsidRDefault="00D02C3D"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D02C3D" w:rsidRPr="00FE2241" w:rsidRDefault="00D02C3D" w:rsidP="00FE2241">
    <w:pPr>
      <w:rPr>
        <w:rFonts w:ascii="Arial" w:hAnsi="Arial" w:cs="Arial"/>
        <w:sz w:val="14"/>
        <w:szCs w:val="14"/>
      </w:rPr>
    </w:pPr>
  </w:p>
  <w:p w14:paraId="2980C29C" w14:textId="77777777" w:rsidR="00D02C3D" w:rsidRPr="00FE2241" w:rsidRDefault="00D02C3D" w:rsidP="00FE2241">
    <w:pPr>
      <w:pBdr>
        <w:top w:val="single" w:sz="4" w:space="1" w:color="auto"/>
      </w:pBdr>
      <w:rPr>
        <w:rFonts w:ascii="Arial" w:hAnsi="Arial" w:cs="Arial"/>
        <w:sz w:val="14"/>
        <w:szCs w:val="14"/>
      </w:rPr>
    </w:pPr>
  </w:p>
  <w:p w14:paraId="4BB6A753" w14:textId="701C13C6" w:rsidR="00D02C3D" w:rsidRDefault="00D02C3D">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2020</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624796">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624796">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4C14F50F" w:rsidR="00D02C3D" w:rsidRPr="00C4000E" w:rsidRDefault="00D02C3D"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D02C3D" w:rsidRPr="00FE2241" w:rsidRDefault="00D02C3D" w:rsidP="00FE2241">
    <w:pPr>
      <w:pBdr>
        <w:top w:val="single" w:sz="4" w:space="1" w:color="auto"/>
      </w:pBdr>
      <w:rPr>
        <w:rFonts w:ascii="Arial" w:hAnsi="Arial" w:cs="Arial"/>
        <w:sz w:val="14"/>
      </w:rPr>
    </w:pPr>
  </w:p>
  <w:p w14:paraId="6F7AAA2C" w14:textId="77777777" w:rsidR="00D02C3D" w:rsidRPr="00FE2241" w:rsidRDefault="00D02C3D"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D02C3D" w:rsidRPr="00FE2241" w:rsidRDefault="00D02C3D" w:rsidP="00FE2241">
    <w:pPr>
      <w:rPr>
        <w:rFonts w:ascii="Arial" w:hAnsi="Arial" w:cs="Arial"/>
        <w:sz w:val="14"/>
        <w:szCs w:val="14"/>
      </w:rPr>
    </w:pPr>
  </w:p>
  <w:p w14:paraId="44A82B39" w14:textId="77777777" w:rsidR="00D02C3D" w:rsidRPr="00FE2241" w:rsidRDefault="00D02C3D" w:rsidP="00FE2241">
    <w:pPr>
      <w:pBdr>
        <w:top w:val="single" w:sz="4" w:space="1" w:color="auto"/>
      </w:pBdr>
      <w:rPr>
        <w:rFonts w:ascii="Arial" w:hAnsi="Arial" w:cs="Arial"/>
        <w:sz w:val="14"/>
        <w:szCs w:val="14"/>
      </w:rPr>
    </w:pPr>
  </w:p>
  <w:p w14:paraId="028F1143" w14:textId="77777777" w:rsidR="00D02C3D" w:rsidRPr="00FE2241" w:rsidRDefault="00D02C3D"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D02C3D" w:rsidRPr="00FE2241" w:rsidRDefault="00D02C3D"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D02C3D" w:rsidRDefault="00D02C3D">
      <w:r>
        <w:separator/>
      </w:r>
    </w:p>
  </w:footnote>
  <w:footnote w:type="continuationSeparator" w:id="0">
    <w:p w14:paraId="2B542463" w14:textId="77777777" w:rsidR="00D02C3D" w:rsidRDefault="00D0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155E22ED" w:rsidR="00D02C3D" w:rsidRPr="00FE2241" w:rsidRDefault="00D02C3D" w:rsidP="00EF6848">
    <w:pPr>
      <w:pStyle w:val="Koptekst"/>
      <w:tabs>
        <w:tab w:val="clear" w:pos="4536"/>
        <w:tab w:val="clear" w:pos="9072"/>
      </w:tabs>
      <w:rPr>
        <w:rFonts w:ascii="Arial" w:hAnsi="Arial" w:cs="Arial"/>
        <w:sz w:val="20"/>
      </w:rPr>
    </w:pPr>
  </w:p>
  <w:p w14:paraId="687722AC" w14:textId="77777777" w:rsidR="00D02C3D" w:rsidRPr="00FE2241" w:rsidRDefault="00D02C3D" w:rsidP="007D3167">
    <w:pPr>
      <w:pStyle w:val="Koptekst"/>
      <w:tabs>
        <w:tab w:val="clear" w:pos="4536"/>
        <w:tab w:val="clear" w:pos="9072"/>
      </w:tabs>
      <w:rPr>
        <w:rFonts w:ascii="Arial" w:hAnsi="Arial" w:cs="Arial"/>
        <w:sz w:val="20"/>
      </w:rPr>
    </w:pPr>
  </w:p>
  <w:p w14:paraId="3D7A1200" w14:textId="77777777" w:rsidR="00D02C3D" w:rsidRPr="00FE2241" w:rsidRDefault="00D02C3D" w:rsidP="007D3167">
    <w:pPr>
      <w:pStyle w:val="Koptekst"/>
      <w:tabs>
        <w:tab w:val="clear" w:pos="4536"/>
        <w:tab w:val="clear" w:pos="9072"/>
      </w:tabs>
      <w:rPr>
        <w:rFonts w:ascii="Arial" w:hAnsi="Arial" w:cs="Arial"/>
        <w:sz w:val="20"/>
      </w:rPr>
    </w:pPr>
  </w:p>
  <w:p w14:paraId="0F116AF6" w14:textId="77777777" w:rsidR="00D02C3D" w:rsidRPr="00FE2241" w:rsidRDefault="00D02C3D" w:rsidP="007D3167">
    <w:pPr>
      <w:pStyle w:val="Koptekst"/>
      <w:tabs>
        <w:tab w:val="clear" w:pos="4536"/>
        <w:tab w:val="clear" w:pos="9072"/>
      </w:tabs>
      <w:rPr>
        <w:rFonts w:ascii="Arial" w:hAnsi="Arial" w:cs="Arial"/>
        <w:sz w:val="20"/>
      </w:rPr>
    </w:pPr>
  </w:p>
  <w:p w14:paraId="2A41147E" w14:textId="77777777" w:rsidR="00D02C3D" w:rsidRPr="00FE2241" w:rsidRDefault="00D02C3D" w:rsidP="007D3167">
    <w:pPr>
      <w:pStyle w:val="Koptekst"/>
      <w:pBdr>
        <w:top w:val="single" w:sz="4" w:space="1" w:color="auto"/>
      </w:pBdr>
      <w:tabs>
        <w:tab w:val="clear" w:pos="4536"/>
        <w:tab w:val="clear" w:pos="9072"/>
      </w:tabs>
      <w:rPr>
        <w:rFonts w:ascii="Arial" w:hAnsi="Arial" w:cs="Arial"/>
        <w:sz w:val="20"/>
      </w:rPr>
    </w:pPr>
  </w:p>
  <w:p w14:paraId="1DBBF74C" w14:textId="77777777" w:rsidR="00D02C3D" w:rsidRPr="00FE2241" w:rsidRDefault="00D02C3D"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D02C3D" w:rsidRPr="00CD41D1" w:rsidRDefault="00D02C3D"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D02C3D" w:rsidRPr="00CD41D1" w:rsidRDefault="00D02C3D" w:rsidP="00885CB3">
    <w:pPr>
      <w:pStyle w:val="Koptekst"/>
      <w:tabs>
        <w:tab w:val="clear" w:pos="4536"/>
        <w:tab w:val="clear" w:pos="9072"/>
      </w:tabs>
      <w:rPr>
        <w:rFonts w:ascii="Arial" w:hAnsi="Arial" w:cs="Arial"/>
        <w:sz w:val="20"/>
      </w:rPr>
    </w:pPr>
  </w:p>
  <w:p w14:paraId="4FCD46BF" w14:textId="77777777" w:rsidR="00D02C3D" w:rsidRPr="00CD41D1" w:rsidRDefault="00D02C3D"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4"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7"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0"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6"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8"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6"/>
  </w:num>
  <w:num w:numId="3">
    <w:abstractNumId w:val="26"/>
  </w:num>
  <w:num w:numId="4">
    <w:abstractNumId w:val="25"/>
  </w:num>
  <w:num w:numId="5">
    <w:abstractNumId w:val="38"/>
  </w:num>
  <w:num w:numId="6">
    <w:abstractNumId w:val="2"/>
  </w:num>
  <w:num w:numId="7">
    <w:abstractNumId w:val="13"/>
  </w:num>
  <w:num w:numId="8">
    <w:abstractNumId w:val="22"/>
  </w:num>
  <w:num w:numId="9">
    <w:abstractNumId w:val="24"/>
  </w:num>
  <w:num w:numId="10">
    <w:abstractNumId w:val="23"/>
  </w:num>
  <w:num w:numId="11">
    <w:abstractNumId w:val="33"/>
  </w:num>
  <w:num w:numId="12">
    <w:abstractNumId w:val="9"/>
  </w:num>
  <w:num w:numId="13">
    <w:abstractNumId w:val="35"/>
  </w:num>
  <w:num w:numId="14">
    <w:abstractNumId w:val="11"/>
  </w:num>
  <w:num w:numId="15">
    <w:abstractNumId w:val="8"/>
  </w:num>
  <w:num w:numId="16">
    <w:abstractNumId w:val="19"/>
  </w:num>
  <w:num w:numId="17">
    <w:abstractNumId w:val="14"/>
  </w:num>
  <w:num w:numId="18">
    <w:abstractNumId w:val="31"/>
  </w:num>
  <w:num w:numId="19">
    <w:abstractNumId w:val="27"/>
  </w:num>
  <w:num w:numId="20">
    <w:abstractNumId w:val="1"/>
  </w:num>
  <w:num w:numId="21">
    <w:abstractNumId w:val="18"/>
  </w:num>
  <w:num w:numId="22">
    <w:abstractNumId w:val="34"/>
  </w:num>
  <w:num w:numId="23">
    <w:abstractNumId w:val="37"/>
  </w:num>
  <w:num w:numId="24">
    <w:abstractNumId w:val="36"/>
  </w:num>
  <w:num w:numId="25">
    <w:abstractNumId w:val="28"/>
  </w:num>
  <w:num w:numId="26">
    <w:abstractNumId w:val="29"/>
  </w:num>
  <w:num w:numId="27">
    <w:abstractNumId w:val="30"/>
  </w:num>
  <w:num w:numId="28">
    <w:abstractNumId w:val="21"/>
  </w:num>
  <w:num w:numId="29">
    <w:abstractNumId w:val="5"/>
  </w:num>
  <w:num w:numId="30">
    <w:abstractNumId w:val="32"/>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2"/>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8D"/>
    <w:rsid w:val="0000081F"/>
    <w:rsid w:val="0000131E"/>
    <w:rsid w:val="00015E54"/>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6EDF"/>
    <w:rsid w:val="00362BBE"/>
    <w:rsid w:val="00362DBA"/>
    <w:rsid w:val="003700F1"/>
    <w:rsid w:val="00371334"/>
    <w:rsid w:val="00374DD1"/>
    <w:rsid w:val="00375A53"/>
    <w:rsid w:val="00376692"/>
    <w:rsid w:val="00377A1C"/>
    <w:rsid w:val="00377AB4"/>
    <w:rsid w:val="00381D2A"/>
    <w:rsid w:val="003842BF"/>
    <w:rsid w:val="003934AE"/>
    <w:rsid w:val="003A3049"/>
    <w:rsid w:val="003A3B8D"/>
    <w:rsid w:val="003D1D40"/>
    <w:rsid w:val="003D4E63"/>
    <w:rsid w:val="003D7406"/>
    <w:rsid w:val="003E0988"/>
    <w:rsid w:val="003E7019"/>
    <w:rsid w:val="003F2D23"/>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4796"/>
    <w:rsid w:val="00626E93"/>
    <w:rsid w:val="00630555"/>
    <w:rsid w:val="0064170B"/>
    <w:rsid w:val="00641BF5"/>
    <w:rsid w:val="00643854"/>
    <w:rsid w:val="006469A4"/>
    <w:rsid w:val="00655CEA"/>
    <w:rsid w:val="006568E7"/>
    <w:rsid w:val="006609EE"/>
    <w:rsid w:val="00673AEC"/>
    <w:rsid w:val="00682989"/>
    <w:rsid w:val="00682BA9"/>
    <w:rsid w:val="00690BA2"/>
    <w:rsid w:val="0069256C"/>
    <w:rsid w:val="00693353"/>
    <w:rsid w:val="00694AAD"/>
    <w:rsid w:val="00694C80"/>
    <w:rsid w:val="006A21BE"/>
    <w:rsid w:val="006A2945"/>
    <w:rsid w:val="006B070F"/>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7D84"/>
    <w:rsid w:val="007B492C"/>
    <w:rsid w:val="007B5B06"/>
    <w:rsid w:val="007B706C"/>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02C3D"/>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7DF2"/>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D92671C4</Template>
  <TotalTime>546</TotalTime>
  <Pages>13</Pages>
  <Words>5623</Words>
  <Characters>30931</Characters>
  <Application>Microsoft Office Word</Application>
  <DocSecurity>0</DocSecurity>
  <Lines>257</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12</cp:revision>
  <dcterms:created xsi:type="dcterms:W3CDTF">2011-12-17T20:07:00Z</dcterms:created>
  <dcterms:modified xsi:type="dcterms:W3CDTF">2019-12-22T17:22:00Z</dcterms:modified>
</cp:coreProperties>
</file>